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资格复审入围考生</w:t>
      </w:r>
    </w:p>
    <w:tbl>
      <w:tblPr>
        <w:tblStyle w:val="3"/>
        <w:tblpPr w:leftFromText="180" w:rightFromText="180" w:vertAnchor="text" w:horzAnchor="page" w:tblpX="1914" w:tblpY="380"/>
        <w:tblOverlap w:val="never"/>
        <w:tblW w:w="84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3246"/>
        <w:gridCol w:w="2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6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324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A1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内容策划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李丽仪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A1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内容策划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A1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内容策划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王宁远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丁乐静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张书铭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丁晗雪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社会教育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器物类文物修复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器物类文物修复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刘锦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jRkMDQzZWU2ZDEzYmE0MGJkZmM0ZTA0MDNkZmIifQ=="/>
  </w:docVars>
  <w:rsids>
    <w:rsidRoot w:val="523D28B7"/>
    <w:rsid w:val="523D28B7"/>
    <w:rsid w:val="544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2025-07-15T01:14:00Z</dcterms:created>
  <dc:creator>张沁欣</dc:creator>
  <cp:lastModifiedBy>张沁欣</cp:lastModifiedBy>
  <dcterms:modified xsi:type="dcterms:W3CDTF">2025-07-15T01:16:40Z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EBD94F987D7E4F5F88970504F8F3559F_11</vt:lpwstr>
  </property>
</Properties>
</file>